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1EC4E" w14:textId="77777777" w:rsidR="004237C9" w:rsidRDefault="004237C9" w:rsidP="004237C9">
      <w:pPr>
        <w:rPr>
          <w:b/>
        </w:rPr>
      </w:pPr>
      <w:r>
        <w:rPr>
          <w:b/>
        </w:rPr>
        <w:t>Marion FELDMAN</w:t>
      </w:r>
    </w:p>
    <w:p w14:paraId="17D3529E" w14:textId="77777777" w:rsidR="004237C9" w:rsidRDefault="004237C9" w:rsidP="004237C9">
      <w:pPr>
        <w:rPr>
          <w:b/>
        </w:rPr>
      </w:pPr>
      <w:r>
        <w:rPr>
          <w:b/>
        </w:rPr>
        <w:t xml:space="preserve">Pr </w:t>
      </w:r>
      <w:r w:rsidR="005937FF">
        <w:rPr>
          <w:b/>
        </w:rPr>
        <w:t>P</w:t>
      </w:r>
      <w:r>
        <w:rPr>
          <w:b/>
        </w:rPr>
        <w:t>sychopathologie psychanalytique</w:t>
      </w:r>
    </w:p>
    <w:p w14:paraId="2115288E" w14:textId="4FB8094B" w:rsidR="004237C9" w:rsidRDefault="007E41C8" w:rsidP="004237C9">
      <w:pPr>
        <w:rPr>
          <w:b/>
        </w:rPr>
      </w:pPr>
      <w:r>
        <w:rPr>
          <w:b/>
        </w:rPr>
        <w:t>A2P - CLIPSYD</w:t>
      </w:r>
    </w:p>
    <w:p w14:paraId="43C1890E" w14:textId="77777777" w:rsidR="004237C9" w:rsidRDefault="004237C9" w:rsidP="004237C9">
      <w:pPr>
        <w:rPr>
          <w:b/>
        </w:rPr>
      </w:pPr>
    </w:p>
    <w:p w14:paraId="72B3C423" w14:textId="77777777" w:rsidR="004237C9" w:rsidRDefault="004237C9" w:rsidP="004237C9">
      <w:pPr>
        <w:rPr>
          <w:b/>
        </w:rPr>
      </w:pPr>
    </w:p>
    <w:p w14:paraId="75785BB0" w14:textId="757AE732" w:rsidR="00285189" w:rsidRPr="00013F45" w:rsidRDefault="00013F45" w:rsidP="00497A8A">
      <w:pPr>
        <w:jc w:val="both"/>
        <w:rPr>
          <w:b/>
        </w:rPr>
      </w:pPr>
      <w:r w:rsidRPr="00013F45">
        <w:rPr>
          <w:b/>
        </w:rPr>
        <w:t>Vulnérabilités psychiques – Traumatismes individuels et collectifs</w:t>
      </w:r>
      <w:r w:rsidR="00A00E21">
        <w:rPr>
          <w:b/>
        </w:rPr>
        <w:t xml:space="preserve"> – </w:t>
      </w:r>
      <w:r w:rsidR="00545ECD">
        <w:rPr>
          <w:b/>
        </w:rPr>
        <w:t xml:space="preserve">Violences de l’histoire - </w:t>
      </w:r>
      <w:r w:rsidR="00A00E21">
        <w:rPr>
          <w:b/>
        </w:rPr>
        <w:t>Dispositifs thérapeutiques</w:t>
      </w:r>
      <w:r w:rsidR="00545ECD">
        <w:rPr>
          <w:b/>
        </w:rPr>
        <w:t xml:space="preserve"> </w:t>
      </w:r>
    </w:p>
    <w:p w14:paraId="25625B36" w14:textId="77777777" w:rsidR="00013F45" w:rsidRDefault="00013F45" w:rsidP="004237C9"/>
    <w:p w14:paraId="4951EC3A" w14:textId="309DED5C" w:rsidR="00013F45" w:rsidRPr="00B3412E" w:rsidRDefault="00013F45" w:rsidP="004237C9">
      <w:pPr>
        <w:jc w:val="both"/>
      </w:pPr>
      <w:r>
        <w:rPr>
          <w:rFonts w:eastAsia="Cambria"/>
          <w:color w:val="353535"/>
        </w:rPr>
        <w:t>Ce séminaire de recherche recouvre</w:t>
      </w:r>
      <w:r w:rsidRPr="00B3412E">
        <w:rPr>
          <w:rFonts w:eastAsia="Cambria"/>
          <w:color w:val="353535"/>
        </w:rPr>
        <w:t xml:space="preserve"> les sujets relatifs aux problématiques contemporaines de ruptures, de traumatismes individuels, familiaux, collectifs (historiques, institutionnels) qui sont souvent cumulatifs. Ils concernent tous les âges de la vie, en particulier ceux qui présentent la particularité d'être des âges passages, sources de fragilités narcissiques dans lesquels les traumas s'engouffrent et peuvent se potentialiser. </w:t>
      </w:r>
      <w:r w:rsidRPr="00B3412E">
        <w:t>Les ébranlements de l’historicité et de la subjectivité sont au cœur de cette psychopathologie contemporaine. Le clinicien</w:t>
      </w:r>
      <w:r w:rsidR="00754C2B">
        <w:t>-chercheur</w:t>
      </w:r>
      <w:r w:rsidRPr="00B3412E">
        <w:t xml:space="preserve"> est alors contraint de s’interroger et d’inventer </w:t>
      </w:r>
      <w:r w:rsidR="003F0FD1">
        <w:t xml:space="preserve">parfois </w:t>
      </w:r>
      <w:r w:rsidRPr="00B3412E">
        <w:t>de nouveaux outils</w:t>
      </w:r>
      <w:r w:rsidR="003F0FD1">
        <w:t xml:space="preserve"> et/ou cadres thérapeutiques</w:t>
      </w:r>
      <w:r w:rsidRPr="00B3412E">
        <w:t xml:space="preserve"> en s’appuyant sur une épistémologie psychanalytique</w:t>
      </w:r>
      <w:r>
        <w:t>, tout en questionnant</w:t>
      </w:r>
      <w:r w:rsidR="002C76BA">
        <w:t xml:space="preserve"> </w:t>
      </w:r>
      <w:r>
        <w:t>les dispositifs thérapeutiques</w:t>
      </w:r>
      <w:r w:rsidRPr="00B3412E">
        <w:t xml:space="preserve"> </w:t>
      </w:r>
      <w:r w:rsidR="003F0FD1">
        <w:t xml:space="preserve">existants </w:t>
      </w:r>
      <w:r>
        <w:t>afin</w:t>
      </w:r>
      <w:r w:rsidRPr="00B3412E">
        <w:t xml:space="preserve"> </w:t>
      </w:r>
      <w:r>
        <w:t>de</w:t>
      </w:r>
      <w:r w:rsidRPr="00B3412E">
        <w:t xml:space="preserve"> construire une clinique « suffisamment bonne ». </w:t>
      </w:r>
    </w:p>
    <w:p w14:paraId="66E03D17" w14:textId="77777777" w:rsidR="00013F45" w:rsidRPr="00B3412E" w:rsidRDefault="00013F45" w:rsidP="004237C9">
      <w:pPr>
        <w:jc w:val="both"/>
      </w:pPr>
    </w:p>
    <w:p w14:paraId="43949B42" w14:textId="77777777" w:rsidR="00013F45" w:rsidRPr="00B3412E" w:rsidRDefault="00837F86" w:rsidP="004237C9">
      <w:pPr>
        <w:jc w:val="both"/>
      </w:pPr>
      <w:r>
        <w:t>Trois</w:t>
      </w:r>
      <w:r w:rsidR="00013F45">
        <w:t xml:space="preserve"> </w:t>
      </w:r>
      <w:r w:rsidR="00151334">
        <w:t>axes</w:t>
      </w:r>
      <w:r w:rsidR="00013F45">
        <w:t xml:space="preserve"> </w:t>
      </w:r>
      <w:r w:rsidR="003F0FD1">
        <w:t xml:space="preserve">de </w:t>
      </w:r>
      <w:r w:rsidR="00CC0094">
        <w:t>recherche</w:t>
      </w:r>
      <w:r w:rsidR="003F0FD1">
        <w:t xml:space="preserve"> sont proposés</w:t>
      </w:r>
      <w:r w:rsidR="00013F45" w:rsidRPr="00B3412E">
        <w:t xml:space="preserve"> : </w:t>
      </w:r>
    </w:p>
    <w:p w14:paraId="37150F24" w14:textId="77777777" w:rsidR="00013F45" w:rsidRPr="00B3412E" w:rsidRDefault="00013F45" w:rsidP="004237C9">
      <w:pPr>
        <w:jc w:val="both"/>
      </w:pPr>
    </w:p>
    <w:p w14:paraId="3DF29B97" w14:textId="77777777" w:rsidR="00754C2B" w:rsidRDefault="00013F45" w:rsidP="004237C9">
      <w:pPr>
        <w:pStyle w:val="Paragraphedeliste"/>
        <w:numPr>
          <w:ilvl w:val="0"/>
          <w:numId w:val="1"/>
        </w:numPr>
        <w:jc w:val="both"/>
      </w:pPr>
      <w:r w:rsidRPr="00013F45">
        <w:t xml:space="preserve">Les vulnérabilités des </w:t>
      </w:r>
      <w:r w:rsidR="00837F86">
        <w:t xml:space="preserve">bébés, des </w:t>
      </w:r>
      <w:r w:rsidR="005937FF">
        <w:t xml:space="preserve">enfants et des </w:t>
      </w:r>
      <w:r w:rsidRPr="00013F45">
        <w:t>adolescents</w:t>
      </w:r>
      <w:r>
        <w:t xml:space="preserve"> avec l</w:t>
      </w:r>
      <w:r w:rsidRPr="000C68F5">
        <w:t>a question du soin</w:t>
      </w:r>
      <w:r>
        <w:t xml:space="preserve">, la parentalité, l’accompagnement psychique, les liens à la famille, les dispositifs thérapeutiques innovants. Il pourra également s’agir de s’interroger sur les processus de basculement </w:t>
      </w:r>
      <w:r w:rsidR="00837F86">
        <w:t xml:space="preserve">pour certains adolescents </w:t>
      </w:r>
      <w:r>
        <w:t>dans les violences extrêmes</w:t>
      </w:r>
      <w:r w:rsidR="00754C2B">
        <w:t xml:space="preserve"> (violences de l’actuel</w:t>
      </w:r>
      <w:r w:rsidR="003F0FD1">
        <w:t xml:space="preserve"> dites « radicales »</w:t>
      </w:r>
      <w:r w:rsidR="00754C2B">
        <w:t>)</w:t>
      </w:r>
      <w:r>
        <w:t xml:space="preserve">. </w:t>
      </w:r>
    </w:p>
    <w:p w14:paraId="163ECAE3" w14:textId="76281F6B" w:rsidR="00D22CBC" w:rsidRDefault="00013F45" w:rsidP="00D22CBC">
      <w:pPr>
        <w:pStyle w:val="Paragraphedeliste"/>
        <w:numPr>
          <w:ilvl w:val="0"/>
          <w:numId w:val="1"/>
        </w:numPr>
        <w:jc w:val="both"/>
      </w:pPr>
      <w:r w:rsidRPr="00013F45">
        <w:t>L’impact des histoires collectives sur la subjectivit</w:t>
      </w:r>
      <w:r w:rsidR="00A31B02">
        <w:t>é et la dynamique familiale</w:t>
      </w:r>
      <w:r w:rsidRPr="00013F45">
        <w:t xml:space="preserve"> </w:t>
      </w:r>
      <w:r>
        <w:t xml:space="preserve">avec des interrogations sur </w:t>
      </w:r>
      <w:r w:rsidR="0032000A">
        <w:t xml:space="preserve">le </w:t>
      </w:r>
      <w:r w:rsidRPr="00013F45">
        <w:t>devenir des traumas d’enfance</w:t>
      </w:r>
      <w:r>
        <w:t xml:space="preserve">, </w:t>
      </w:r>
      <w:r w:rsidR="003F0FD1">
        <w:t>les répercussions psychiques</w:t>
      </w:r>
      <w:r>
        <w:t xml:space="preserve"> des violences de l’</w:t>
      </w:r>
      <w:r w:rsidR="003F0FD1">
        <w:t>H</w:t>
      </w:r>
      <w:r>
        <w:t>istoire</w:t>
      </w:r>
      <w:r w:rsidR="00754C2B">
        <w:t xml:space="preserve"> (colonisation, guerre, génocide...)</w:t>
      </w:r>
      <w:r w:rsidR="00D22CBC">
        <w:t>, avec la prise en compte des représentations culturelles.</w:t>
      </w:r>
    </w:p>
    <w:p w14:paraId="1E1A79F8" w14:textId="263C5B41" w:rsidR="00013F45" w:rsidRDefault="00013F45" w:rsidP="004237C9">
      <w:pPr>
        <w:pStyle w:val="Paragraphedeliste"/>
        <w:numPr>
          <w:ilvl w:val="0"/>
          <w:numId w:val="1"/>
        </w:numPr>
        <w:jc w:val="both"/>
      </w:pPr>
      <w:r w:rsidRPr="00013F45">
        <w:t>Les traumatismes et l</w:t>
      </w:r>
      <w:r w:rsidR="00332D4F">
        <w:t>eur</w:t>
      </w:r>
      <w:r w:rsidRPr="00013F45">
        <w:t xml:space="preserve"> transmission</w:t>
      </w:r>
      <w:r w:rsidR="00EB26DA">
        <w:t xml:space="preserve"> </w:t>
      </w:r>
      <w:r>
        <w:t xml:space="preserve">: </w:t>
      </w:r>
      <w:r w:rsidR="00754C2B">
        <w:t xml:space="preserve">il pourra s’agir </w:t>
      </w:r>
      <w:r w:rsidR="00A00E21">
        <w:t>des modalités de transmission du parent à son enfant</w:t>
      </w:r>
      <w:r w:rsidR="00C10545">
        <w:t xml:space="preserve">, mais aussi </w:t>
      </w:r>
      <w:r w:rsidR="00A00E21">
        <w:t>d</w:t>
      </w:r>
      <w:r w:rsidR="004237C9">
        <w:t>es</w:t>
      </w:r>
      <w:r w:rsidR="00C10545">
        <w:t xml:space="preserve"> questions </w:t>
      </w:r>
      <w:r w:rsidR="00A00E21">
        <w:t>portant</w:t>
      </w:r>
      <w:r w:rsidR="004237C9">
        <w:t xml:space="preserve"> sur la </w:t>
      </w:r>
      <w:r w:rsidR="00C10545">
        <w:t xml:space="preserve">transmission </w:t>
      </w:r>
      <w:proofErr w:type="spellStart"/>
      <w:r w:rsidR="00C10545">
        <w:t>transgénérationnelle</w:t>
      </w:r>
      <w:proofErr w:type="spellEnd"/>
      <w:r w:rsidR="00C10545">
        <w:t xml:space="preserve"> au niveau familial.</w:t>
      </w:r>
      <w:r w:rsidR="00754C2B">
        <w:t xml:space="preserve"> </w:t>
      </w:r>
      <w:r w:rsidR="00C10545">
        <w:t>L’histoire</w:t>
      </w:r>
      <w:r w:rsidRPr="000C68F5">
        <w:t xml:space="preserve"> traumatique vécue ou perçue dans l’espace clinique</w:t>
      </w:r>
      <w:r>
        <w:t xml:space="preserve"> </w:t>
      </w:r>
      <w:r w:rsidR="004237C9">
        <w:t>pourra également être</w:t>
      </w:r>
      <w:r>
        <w:t xml:space="preserve"> interrogée. </w:t>
      </w:r>
    </w:p>
    <w:p w14:paraId="78C5F0C3" w14:textId="77777777" w:rsidR="00754C2B" w:rsidRDefault="00754C2B" w:rsidP="004237C9">
      <w:pPr>
        <w:jc w:val="both"/>
      </w:pPr>
    </w:p>
    <w:p w14:paraId="5CB26897" w14:textId="57EFD1C6" w:rsidR="004237C9" w:rsidRPr="00693E45" w:rsidRDefault="00754C2B" w:rsidP="004237C9">
      <w:pPr>
        <w:jc w:val="both"/>
        <w:rPr>
          <w:rFonts w:cstheme="minorHAnsi"/>
        </w:rPr>
      </w:pPr>
      <w:r>
        <w:t xml:space="preserve">Quel que soit l’axe choisi, la méthodologie sera travaillée tout au long du séminaire. Il </w:t>
      </w:r>
      <w:r w:rsidR="004237C9">
        <w:t xml:space="preserve">s’agira </w:t>
      </w:r>
      <w:r w:rsidR="00D22CBC">
        <w:t>aussi d</w:t>
      </w:r>
      <w:r w:rsidR="00693E45">
        <w:t>’interroger</w:t>
      </w:r>
      <w:r>
        <w:t xml:space="preserve"> le contre-transfert du chercheur</w:t>
      </w:r>
      <w:r w:rsidR="00693E45">
        <w:t>, à</w:t>
      </w:r>
      <w:r w:rsidR="00D22CBC">
        <w:t xml:space="preserve"> toutes les étapes de réalisation de ce travail : choix du sujet, </w:t>
      </w:r>
      <w:r w:rsidR="00545ECD">
        <w:t xml:space="preserve">réalisation de la revue de la littérature, </w:t>
      </w:r>
      <w:r w:rsidR="00545ECD">
        <w:t xml:space="preserve">choix méthodologique, </w:t>
      </w:r>
      <w:r w:rsidR="00D22CBC">
        <w:t xml:space="preserve">recrutement des </w:t>
      </w:r>
      <w:proofErr w:type="spellStart"/>
      <w:r w:rsidR="00D22CBC">
        <w:t>participant.</w:t>
      </w:r>
      <w:proofErr w:type="gramStart"/>
      <w:r w:rsidR="00D22CBC">
        <w:t>e.s</w:t>
      </w:r>
      <w:proofErr w:type="spellEnd"/>
      <w:proofErr w:type="gramEnd"/>
      <w:r w:rsidR="00D22CBC">
        <w:t>, recueil des données, analyse.</w:t>
      </w:r>
      <w:r w:rsidR="00693E45">
        <w:t xml:space="preserve">.. </w:t>
      </w:r>
      <w:r w:rsidR="00693E45" w:rsidRPr="00693E45">
        <w:rPr>
          <w:rFonts w:eastAsia="Times New Roman" w:cstheme="minorHAnsi"/>
          <w:color w:val="000000"/>
          <w:shd w:val="clear" w:color="auto" w:fill="FFFFFF"/>
        </w:rPr>
        <w:t>Ce travail essentiel</w:t>
      </w:r>
      <w:r w:rsidR="00693E45" w:rsidRPr="00693E45">
        <w:rPr>
          <w:rFonts w:eastAsia="Times New Roman" w:cstheme="minorHAnsi"/>
          <w:color w:val="000000"/>
          <w:shd w:val="clear" w:color="auto" w:fill="FFFFFF"/>
        </w:rPr>
        <w:t xml:space="preserve"> sur les éprouvés du chercheur permet d’accéder à un matériau </w:t>
      </w:r>
      <w:r w:rsidR="00545ECD">
        <w:rPr>
          <w:rFonts w:eastAsia="Times New Roman" w:cstheme="minorHAnsi"/>
          <w:color w:val="000000"/>
          <w:shd w:val="clear" w:color="auto" w:fill="FFFFFF"/>
        </w:rPr>
        <w:t xml:space="preserve">clinique </w:t>
      </w:r>
      <w:r w:rsidR="00693E45" w:rsidRPr="00693E45">
        <w:rPr>
          <w:rFonts w:eastAsia="Times New Roman" w:cstheme="minorHAnsi"/>
          <w:color w:val="000000"/>
          <w:shd w:val="clear" w:color="auto" w:fill="FFFFFF"/>
        </w:rPr>
        <w:t xml:space="preserve">supplémentaire </w:t>
      </w:r>
      <w:r w:rsidR="00332D4F">
        <w:rPr>
          <w:rFonts w:eastAsia="Times New Roman" w:cstheme="minorHAnsi"/>
          <w:color w:val="000000"/>
          <w:shd w:val="clear" w:color="auto" w:fill="FFFFFF"/>
        </w:rPr>
        <w:t>venant également</w:t>
      </w:r>
      <w:r w:rsidR="00693E45" w:rsidRPr="00693E45">
        <w:rPr>
          <w:rFonts w:eastAsia="Times New Roman" w:cstheme="minorHAnsi"/>
          <w:color w:val="000000"/>
          <w:shd w:val="clear" w:color="auto" w:fill="FFFFFF"/>
        </w:rPr>
        <w:t xml:space="preserve"> augmenter la force de l’étude</w:t>
      </w:r>
      <w:r w:rsidR="00333FF0">
        <w:rPr>
          <w:rFonts w:eastAsia="Times New Roman" w:cstheme="minorHAnsi"/>
          <w:color w:val="000000"/>
          <w:shd w:val="clear" w:color="auto" w:fill="FFFFFF"/>
        </w:rPr>
        <w:t xml:space="preserve"> (Devereux, 1967)</w:t>
      </w:r>
      <w:r w:rsidR="00693E45">
        <w:rPr>
          <w:rFonts w:eastAsia="Times New Roman" w:cstheme="minorHAnsi"/>
          <w:color w:val="000000"/>
          <w:shd w:val="clear" w:color="auto" w:fill="FFFFFF"/>
        </w:rPr>
        <w:t>.</w:t>
      </w:r>
    </w:p>
    <w:p w14:paraId="43635D85" w14:textId="77777777" w:rsidR="00754C2B" w:rsidRPr="00242D18" w:rsidRDefault="00754C2B" w:rsidP="004237C9">
      <w:pPr>
        <w:jc w:val="both"/>
      </w:pPr>
      <w:r w:rsidRPr="00242D18">
        <w:t xml:space="preserve">L’étudiant exposera régulièrement ses recherches </w:t>
      </w:r>
      <w:r>
        <w:t>tout au long</w:t>
      </w:r>
      <w:r w:rsidRPr="00242D18">
        <w:t xml:space="preserve"> </w:t>
      </w:r>
      <w:r>
        <w:t>de l’année</w:t>
      </w:r>
      <w:r w:rsidRPr="00242D18">
        <w:t>, qui aura lieu le</w:t>
      </w:r>
      <w:r w:rsidR="005937FF">
        <w:t> </w:t>
      </w:r>
      <w:r w:rsidR="0030545E">
        <w:t xml:space="preserve">jeudi de 13h40 à 15h40, </w:t>
      </w:r>
      <w:r w:rsidRPr="00242D18">
        <w:t xml:space="preserve">et se déroulera sur les deux années de master. </w:t>
      </w:r>
      <w:r>
        <w:t>Chaque étudiant</w:t>
      </w:r>
      <w:r w:rsidRPr="00242D18">
        <w:t xml:space="preserve"> </w:t>
      </w:r>
      <w:r>
        <w:t>remettra</w:t>
      </w:r>
      <w:r w:rsidRPr="00242D18">
        <w:t xml:space="preserve"> un plan de travail à la fin du premier semestre du M1 et du M2. Un premier document de recherche sera remis en fin de 1</w:t>
      </w:r>
      <w:r w:rsidRPr="00242D18">
        <w:rPr>
          <w:vertAlign w:val="superscript"/>
        </w:rPr>
        <w:t>ère</w:t>
      </w:r>
      <w:r>
        <w:t xml:space="preserve"> année de Master</w:t>
      </w:r>
      <w:r w:rsidRPr="00242D18">
        <w:t>.  Il donnera lieu à une soutenance. Le mémoire de Master à proprement parler sera remis en fin de 2</w:t>
      </w:r>
      <w:r w:rsidRPr="00242D18">
        <w:rPr>
          <w:vertAlign w:val="superscript"/>
        </w:rPr>
        <w:t>ème</w:t>
      </w:r>
      <w:r w:rsidRPr="00242D18">
        <w:t xml:space="preserve"> année, </w:t>
      </w:r>
      <w:r w:rsidRPr="00242D18">
        <w:lastRenderedPageBreak/>
        <w:t>regroupant les aspects cliniques, méthodologique</w:t>
      </w:r>
      <w:r>
        <w:t>s</w:t>
      </w:r>
      <w:r w:rsidRPr="00242D18">
        <w:t>, éthique</w:t>
      </w:r>
      <w:r>
        <w:t>s</w:t>
      </w:r>
      <w:r w:rsidRPr="00242D18">
        <w:t xml:space="preserve"> et théoriques avec l’articulation entre ces </w:t>
      </w:r>
      <w:r w:rsidR="00F02369">
        <w:t xml:space="preserve">différents </w:t>
      </w:r>
      <w:r w:rsidRPr="00242D18">
        <w:t>aspects.</w:t>
      </w:r>
    </w:p>
    <w:p w14:paraId="56078A09" w14:textId="77777777" w:rsidR="00754C2B" w:rsidRDefault="00754C2B" w:rsidP="004237C9">
      <w:pPr>
        <w:jc w:val="both"/>
      </w:pPr>
    </w:p>
    <w:p w14:paraId="7A47697C" w14:textId="77777777" w:rsidR="00966570" w:rsidRPr="001A4BEE" w:rsidRDefault="001A4BEE" w:rsidP="004237C9">
      <w:pPr>
        <w:rPr>
          <w:b/>
        </w:rPr>
      </w:pPr>
      <w:r w:rsidRPr="001A4BEE">
        <w:rPr>
          <w:b/>
        </w:rPr>
        <w:t xml:space="preserve">Bibliographie </w:t>
      </w:r>
    </w:p>
    <w:p w14:paraId="20A6C1AB" w14:textId="77777777" w:rsidR="001A4BEE" w:rsidRDefault="001A4BEE" w:rsidP="004237C9"/>
    <w:p w14:paraId="38608E45" w14:textId="77777777" w:rsidR="00966570" w:rsidRDefault="00966570" w:rsidP="004237C9">
      <w:pPr>
        <w:jc w:val="both"/>
      </w:pPr>
      <w:r w:rsidRPr="006332B4">
        <w:t xml:space="preserve">Abraham N. et </w:t>
      </w:r>
      <w:proofErr w:type="spellStart"/>
      <w:r w:rsidRPr="006332B4">
        <w:t>Torok</w:t>
      </w:r>
      <w:proofErr w:type="spellEnd"/>
      <w:r w:rsidRPr="006332B4">
        <w:t xml:space="preserve"> M. (1978). </w:t>
      </w:r>
      <w:r w:rsidRPr="006332B4">
        <w:rPr>
          <w:i/>
        </w:rPr>
        <w:t>L’écorce et le noyau</w:t>
      </w:r>
      <w:r>
        <w:t>, Paris, Flammarion.</w:t>
      </w:r>
    </w:p>
    <w:p w14:paraId="6B3EBC0A" w14:textId="77777777" w:rsidR="00966570" w:rsidRDefault="00966570" w:rsidP="004237C9">
      <w:pPr>
        <w:jc w:val="both"/>
      </w:pPr>
      <w:proofErr w:type="spellStart"/>
      <w:r w:rsidRPr="006332B4">
        <w:t>Altounian</w:t>
      </w:r>
      <w:proofErr w:type="spellEnd"/>
      <w:r w:rsidRPr="006332B4">
        <w:t xml:space="preserve"> J. (2000). </w:t>
      </w:r>
      <w:r w:rsidRPr="006332B4">
        <w:rPr>
          <w:i/>
        </w:rPr>
        <w:t>La survivance</w:t>
      </w:r>
      <w:r w:rsidRPr="006332B4">
        <w:t xml:space="preserve">, Paris, </w:t>
      </w:r>
      <w:proofErr w:type="spellStart"/>
      <w:r w:rsidRPr="006332B4">
        <w:t>Dunod</w:t>
      </w:r>
      <w:proofErr w:type="spellEnd"/>
      <w:r w:rsidRPr="006332B4">
        <w:t>.</w:t>
      </w:r>
    </w:p>
    <w:p w14:paraId="60C0B6B4" w14:textId="77777777" w:rsidR="00966570" w:rsidRPr="00966570" w:rsidRDefault="00966570" w:rsidP="004237C9">
      <w:pPr>
        <w:jc w:val="both"/>
        <w:rPr>
          <w:b/>
        </w:rPr>
      </w:pPr>
      <w:r>
        <w:t xml:space="preserve">Bonneville E. (2015). </w:t>
      </w:r>
      <w:r w:rsidRPr="00966570">
        <w:rPr>
          <w:i/>
        </w:rPr>
        <w:t>Les traumatismes relationnels précoces. Clinique de l’enfant placé</w:t>
      </w:r>
      <w:r>
        <w:t xml:space="preserve">, Toulouse, </w:t>
      </w:r>
      <w:proofErr w:type="spellStart"/>
      <w:r>
        <w:t>Erès</w:t>
      </w:r>
      <w:proofErr w:type="spellEnd"/>
      <w:r>
        <w:t>.</w:t>
      </w:r>
    </w:p>
    <w:p w14:paraId="5C2E06F5" w14:textId="77777777" w:rsidR="00966570" w:rsidRDefault="00966570" w:rsidP="004237C9">
      <w:pPr>
        <w:jc w:val="both"/>
      </w:pPr>
      <w:proofErr w:type="spellStart"/>
      <w:r w:rsidRPr="00614D57">
        <w:t>Cherki</w:t>
      </w:r>
      <w:proofErr w:type="spellEnd"/>
      <w:r w:rsidRPr="00614D57">
        <w:t xml:space="preserve"> A. (2007). </w:t>
      </w:r>
      <w:r w:rsidRPr="00614D57">
        <w:rPr>
          <w:i/>
        </w:rPr>
        <w:t>La frontière invisible</w:t>
      </w:r>
      <w:r w:rsidRPr="00614D57">
        <w:t xml:space="preserve">, Paris, </w:t>
      </w:r>
      <w:proofErr w:type="spellStart"/>
      <w:r w:rsidRPr="00614D57">
        <w:t>Elema</w:t>
      </w:r>
      <w:proofErr w:type="spellEnd"/>
      <w:r w:rsidRPr="00614D57">
        <w:t>.</w:t>
      </w:r>
    </w:p>
    <w:p w14:paraId="6CCDD099" w14:textId="77777777" w:rsidR="00966570" w:rsidRDefault="00966570" w:rsidP="004237C9">
      <w:pPr>
        <w:pStyle w:val="Notedebasdepage"/>
        <w:rPr>
          <w:rFonts w:asciiTheme="minorHAnsi" w:hAnsiTheme="minorHAnsi" w:cstheme="minorHAnsi"/>
          <w:lang w:val="fr-FR"/>
        </w:rPr>
      </w:pPr>
      <w:proofErr w:type="spellStart"/>
      <w:r w:rsidRPr="00966570">
        <w:rPr>
          <w:rFonts w:asciiTheme="minorHAnsi" w:hAnsiTheme="minorHAnsi" w:cstheme="minorHAnsi"/>
          <w:lang w:val="fr-FR"/>
        </w:rPr>
        <w:t>Ciccone</w:t>
      </w:r>
      <w:proofErr w:type="spellEnd"/>
      <w:r w:rsidRPr="00966570">
        <w:rPr>
          <w:rFonts w:asciiTheme="minorHAnsi" w:hAnsiTheme="minorHAnsi" w:cstheme="minorHAnsi"/>
          <w:lang w:val="fr-FR"/>
        </w:rPr>
        <w:t xml:space="preserve"> A. (2012). </w:t>
      </w:r>
      <w:r w:rsidRPr="00966570">
        <w:rPr>
          <w:rFonts w:asciiTheme="minorHAnsi" w:hAnsiTheme="minorHAnsi" w:cstheme="minorHAnsi"/>
          <w:i/>
          <w:lang w:val="fr-FR"/>
        </w:rPr>
        <w:t>La part du bébé en soi</w:t>
      </w:r>
      <w:r w:rsidRPr="00966570">
        <w:rPr>
          <w:rFonts w:asciiTheme="minorHAnsi" w:hAnsiTheme="minorHAnsi" w:cstheme="minorHAnsi"/>
          <w:lang w:val="fr-FR"/>
        </w:rPr>
        <w:t xml:space="preserve">, Paris, </w:t>
      </w:r>
      <w:proofErr w:type="spellStart"/>
      <w:r w:rsidRPr="00966570">
        <w:rPr>
          <w:rFonts w:asciiTheme="minorHAnsi" w:hAnsiTheme="minorHAnsi" w:cstheme="minorHAnsi"/>
          <w:lang w:val="fr-FR"/>
        </w:rPr>
        <w:t>Dunod</w:t>
      </w:r>
      <w:proofErr w:type="spellEnd"/>
      <w:r w:rsidRPr="00966570">
        <w:rPr>
          <w:rFonts w:asciiTheme="minorHAnsi" w:hAnsiTheme="minorHAnsi" w:cstheme="minorHAnsi"/>
          <w:lang w:val="fr-FR"/>
        </w:rPr>
        <w:t>.</w:t>
      </w:r>
    </w:p>
    <w:p w14:paraId="2EC8777E" w14:textId="77777777" w:rsidR="00966570" w:rsidRDefault="00966570" w:rsidP="004237C9">
      <w:pPr>
        <w:jc w:val="both"/>
      </w:pPr>
      <w:r>
        <w:t>Devereux G. (1967</w:t>
      </w:r>
      <w:r w:rsidRPr="00614D57">
        <w:t xml:space="preserve">). </w:t>
      </w:r>
      <w:r w:rsidRPr="00614D57">
        <w:rPr>
          <w:i/>
        </w:rPr>
        <w:t>De l’angoisse à la méthode</w:t>
      </w:r>
      <w:r w:rsidRPr="00614D57">
        <w:t>, Paris, Flammarion, 1980</w:t>
      </w:r>
      <w:r>
        <w:t>.</w:t>
      </w:r>
    </w:p>
    <w:p w14:paraId="5B9CE4A1" w14:textId="77777777" w:rsidR="00754C2B" w:rsidRDefault="00754C2B" w:rsidP="004237C9">
      <w:pPr>
        <w:jc w:val="both"/>
      </w:pPr>
      <w:proofErr w:type="spellStart"/>
      <w:r>
        <w:t>Feldman</w:t>
      </w:r>
      <w:proofErr w:type="spellEnd"/>
      <w:r>
        <w:t xml:space="preserve"> M. (2016). </w:t>
      </w:r>
      <w:r w:rsidRPr="00754C2B">
        <w:rPr>
          <w:i/>
        </w:rPr>
        <w:t>Les enfants exposés aux violences collectives</w:t>
      </w:r>
      <w:r>
        <w:t xml:space="preserve">, Toulouse, </w:t>
      </w:r>
      <w:proofErr w:type="spellStart"/>
      <w:r>
        <w:t>Erès</w:t>
      </w:r>
      <w:proofErr w:type="spellEnd"/>
      <w:r>
        <w:t>.</w:t>
      </w:r>
    </w:p>
    <w:p w14:paraId="3F05AB77" w14:textId="77777777" w:rsidR="00693E45" w:rsidRDefault="00693E45" w:rsidP="004237C9">
      <w:pPr>
        <w:pStyle w:val="Notedebasdepage"/>
        <w:jc w:val="both"/>
        <w:rPr>
          <w:rFonts w:ascii="Calibri" w:hAnsi="Calibri" w:cs="Calibri"/>
        </w:rPr>
      </w:pPr>
      <w:proofErr w:type="spellStart"/>
      <w:r w:rsidRPr="00693E45">
        <w:rPr>
          <w:rFonts w:ascii="Calibri" w:hAnsi="Calibri" w:cs="Calibri"/>
        </w:rPr>
        <w:t>Feldman</w:t>
      </w:r>
      <w:proofErr w:type="spellEnd"/>
      <w:r w:rsidRPr="00693E45">
        <w:rPr>
          <w:rFonts w:ascii="Calibri" w:hAnsi="Calibri" w:cs="Calibri"/>
        </w:rPr>
        <w:t xml:space="preserve"> M. (2020). D’une histoire familiale et collective « </w:t>
      </w:r>
      <w:proofErr w:type="spellStart"/>
      <w:r w:rsidRPr="00693E45">
        <w:rPr>
          <w:rFonts w:ascii="Calibri" w:hAnsi="Calibri" w:cs="Calibri"/>
        </w:rPr>
        <w:t>silenciée</w:t>
      </w:r>
      <w:proofErr w:type="spellEnd"/>
      <w:r w:rsidRPr="00693E45">
        <w:rPr>
          <w:rFonts w:ascii="Calibri" w:hAnsi="Calibri" w:cs="Calibri"/>
        </w:rPr>
        <w:t xml:space="preserve"> » à des faits individuels de violence assourdissante : la nécessaire élaboration du récit. </w:t>
      </w:r>
      <w:r w:rsidRPr="00693E45">
        <w:rPr>
          <w:rFonts w:ascii="Calibri" w:hAnsi="Calibri" w:cs="Calibri"/>
          <w:i/>
        </w:rPr>
        <w:t>Psychothérapies</w:t>
      </w:r>
      <w:r w:rsidRPr="00693E45">
        <w:rPr>
          <w:rFonts w:ascii="Calibri" w:hAnsi="Calibri" w:cs="Calibri"/>
        </w:rPr>
        <w:t xml:space="preserve">, 40, 4, 227-235. </w:t>
      </w:r>
    </w:p>
    <w:p w14:paraId="578FB890" w14:textId="77777777" w:rsidR="00693E45" w:rsidRPr="00693E45" w:rsidRDefault="00693E45" w:rsidP="00693E45">
      <w:pPr>
        <w:jc w:val="both"/>
        <w:rPr>
          <w:rFonts w:ascii="Calibri" w:hAnsi="Calibri" w:cs="Calibri"/>
        </w:rPr>
      </w:pPr>
      <w:proofErr w:type="spellStart"/>
      <w:r w:rsidRPr="00693E45">
        <w:rPr>
          <w:rFonts w:ascii="Calibri" w:hAnsi="Calibri" w:cs="Calibri"/>
        </w:rPr>
        <w:t>Feldman</w:t>
      </w:r>
      <w:proofErr w:type="spellEnd"/>
      <w:r w:rsidRPr="00693E45">
        <w:rPr>
          <w:rFonts w:ascii="Calibri" w:hAnsi="Calibri" w:cs="Calibri"/>
        </w:rPr>
        <w:t xml:space="preserve"> M., </w:t>
      </w:r>
      <w:proofErr w:type="spellStart"/>
      <w:r w:rsidRPr="00693E45">
        <w:rPr>
          <w:rFonts w:ascii="Calibri" w:hAnsi="Calibri" w:cs="Calibri"/>
        </w:rPr>
        <w:t>Mansouri</w:t>
      </w:r>
      <w:proofErr w:type="spellEnd"/>
      <w:r w:rsidRPr="00693E45">
        <w:rPr>
          <w:rFonts w:ascii="Calibri" w:hAnsi="Calibri" w:cs="Calibri"/>
        </w:rPr>
        <w:t xml:space="preserve"> M. (2018). Une clinique du colonial : panser les après-coups. Les enfants réunionnais transplantés en métropole, </w:t>
      </w:r>
      <w:r w:rsidRPr="00693E45">
        <w:rPr>
          <w:rFonts w:ascii="Calibri" w:hAnsi="Calibri" w:cs="Calibri"/>
          <w:i/>
        </w:rPr>
        <w:t>Le Coq-Héron</w:t>
      </w:r>
      <w:r w:rsidRPr="00693E45">
        <w:rPr>
          <w:rFonts w:ascii="Calibri" w:hAnsi="Calibri" w:cs="Calibri"/>
        </w:rPr>
        <w:t xml:space="preserve">, 234, 26-34. DOI 10.3917/cohe.234.0026 </w:t>
      </w:r>
    </w:p>
    <w:p w14:paraId="5443D162" w14:textId="648E37F5" w:rsidR="0004686B" w:rsidRPr="0004686B" w:rsidRDefault="0004686B" w:rsidP="004237C9">
      <w:pPr>
        <w:pStyle w:val="Notedebasdepage"/>
        <w:jc w:val="both"/>
        <w:rPr>
          <w:rFonts w:asciiTheme="minorHAnsi" w:hAnsiTheme="minorHAnsi" w:cstheme="minorHAnsi"/>
        </w:rPr>
      </w:pPr>
      <w:r w:rsidRPr="00693E45">
        <w:rPr>
          <w:rFonts w:asciiTheme="minorHAnsi" w:hAnsiTheme="minorHAnsi" w:cstheme="minorHAnsi"/>
        </w:rPr>
        <w:t xml:space="preserve">Ferenczi S. </w:t>
      </w:r>
      <w:r w:rsidRPr="0004686B">
        <w:rPr>
          <w:rFonts w:asciiTheme="minorHAnsi" w:hAnsiTheme="minorHAnsi" w:cstheme="minorHAnsi"/>
        </w:rPr>
        <w:t xml:space="preserve">(1932). </w:t>
      </w:r>
      <w:r w:rsidRPr="0004686B">
        <w:rPr>
          <w:rFonts w:asciiTheme="minorHAnsi" w:hAnsiTheme="minorHAnsi" w:cstheme="minorHAnsi"/>
          <w:i/>
        </w:rPr>
        <w:t xml:space="preserve">Journal clinique, </w:t>
      </w:r>
      <w:r w:rsidRPr="0004686B">
        <w:rPr>
          <w:rFonts w:asciiTheme="minorHAnsi" w:hAnsiTheme="minorHAnsi" w:cstheme="minorHAnsi"/>
        </w:rPr>
        <w:t>Paris, Payot,</w:t>
      </w:r>
      <w:r w:rsidR="00881228">
        <w:rPr>
          <w:rFonts w:asciiTheme="minorHAnsi" w:hAnsiTheme="minorHAnsi" w:cstheme="minorHAnsi"/>
          <w:lang w:val="fr-FR"/>
        </w:rPr>
        <w:t xml:space="preserve"> </w:t>
      </w:r>
      <w:r w:rsidRPr="0004686B">
        <w:rPr>
          <w:rFonts w:asciiTheme="minorHAnsi" w:hAnsiTheme="minorHAnsi" w:cstheme="minorHAnsi"/>
        </w:rPr>
        <w:t>1990.</w:t>
      </w:r>
    </w:p>
    <w:p w14:paraId="48C48401" w14:textId="77777777" w:rsidR="00966570" w:rsidRDefault="00966570" w:rsidP="004237C9">
      <w:r>
        <w:t xml:space="preserve">Freud S. (1929). </w:t>
      </w:r>
      <w:r w:rsidRPr="00966570">
        <w:rPr>
          <w:i/>
        </w:rPr>
        <w:t>Malaise dans la civilisation</w:t>
      </w:r>
      <w:r>
        <w:t>, Paris, PUF.</w:t>
      </w:r>
    </w:p>
    <w:p w14:paraId="3608E751" w14:textId="77777777" w:rsidR="0004686B" w:rsidRPr="0004686B" w:rsidRDefault="0004686B" w:rsidP="004237C9">
      <w:pPr>
        <w:pStyle w:val="Notedebasdepage"/>
        <w:jc w:val="both"/>
        <w:rPr>
          <w:rFonts w:asciiTheme="minorHAnsi" w:hAnsiTheme="minorHAnsi" w:cstheme="minorHAnsi"/>
        </w:rPr>
      </w:pPr>
      <w:proofErr w:type="spellStart"/>
      <w:r w:rsidRPr="0004686B">
        <w:rPr>
          <w:rFonts w:asciiTheme="minorHAnsi" w:hAnsiTheme="minorHAnsi" w:cstheme="minorHAnsi"/>
        </w:rPr>
        <w:t>Gabel</w:t>
      </w:r>
      <w:proofErr w:type="spellEnd"/>
      <w:r w:rsidRPr="0004686B">
        <w:rPr>
          <w:rFonts w:asciiTheme="minorHAnsi" w:hAnsiTheme="minorHAnsi" w:cstheme="minorHAnsi"/>
        </w:rPr>
        <w:t xml:space="preserve"> M., Lamour M. (2011). </w:t>
      </w:r>
      <w:r w:rsidRPr="0004686B">
        <w:rPr>
          <w:rFonts w:asciiTheme="minorHAnsi" w:hAnsiTheme="minorHAnsi" w:cstheme="minorHAnsi"/>
          <w:i/>
        </w:rPr>
        <w:t>Enfants en souffrance, professionnels en danger</w:t>
      </w:r>
      <w:r w:rsidRPr="0004686B">
        <w:rPr>
          <w:rFonts w:asciiTheme="minorHAnsi" w:hAnsiTheme="minorHAnsi" w:cstheme="minorHAnsi"/>
        </w:rPr>
        <w:t xml:space="preserve">, Toulouse, </w:t>
      </w:r>
      <w:proofErr w:type="spellStart"/>
      <w:r w:rsidRPr="0004686B">
        <w:rPr>
          <w:rFonts w:asciiTheme="minorHAnsi" w:hAnsiTheme="minorHAnsi" w:cstheme="minorHAnsi"/>
        </w:rPr>
        <w:t>Erès</w:t>
      </w:r>
      <w:proofErr w:type="spellEnd"/>
      <w:r w:rsidRPr="0004686B">
        <w:rPr>
          <w:rFonts w:asciiTheme="minorHAnsi" w:hAnsiTheme="minorHAnsi" w:cstheme="minorHAnsi"/>
        </w:rPr>
        <w:t>.</w:t>
      </w:r>
    </w:p>
    <w:p w14:paraId="0E9ED6CF" w14:textId="77777777" w:rsidR="0004686B" w:rsidRPr="0004686B" w:rsidRDefault="0004686B" w:rsidP="004237C9">
      <w:pPr>
        <w:pStyle w:val="Notedebasdepage"/>
        <w:rPr>
          <w:rFonts w:asciiTheme="minorHAnsi" w:hAnsiTheme="minorHAnsi" w:cstheme="minorHAnsi"/>
          <w:lang w:val="fr-FR"/>
        </w:rPr>
      </w:pPr>
      <w:proofErr w:type="spellStart"/>
      <w:r w:rsidRPr="0004686B">
        <w:rPr>
          <w:rFonts w:asciiTheme="minorHAnsi" w:hAnsiTheme="minorHAnsi" w:cstheme="minorHAnsi"/>
          <w:lang w:val="fr-FR"/>
        </w:rPr>
        <w:t>Kaës</w:t>
      </w:r>
      <w:proofErr w:type="spellEnd"/>
      <w:r w:rsidRPr="0004686B">
        <w:rPr>
          <w:rFonts w:asciiTheme="minorHAnsi" w:hAnsiTheme="minorHAnsi" w:cstheme="minorHAnsi"/>
          <w:lang w:val="fr-FR"/>
        </w:rPr>
        <w:t xml:space="preserve"> R. (1998). </w:t>
      </w:r>
      <w:r w:rsidRPr="0004686B">
        <w:rPr>
          <w:rFonts w:asciiTheme="minorHAnsi" w:hAnsiTheme="minorHAnsi" w:cstheme="minorHAnsi"/>
          <w:i/>
          <w:lang w:val="fr-FR"/>
        </w:rPr>
        <w:t>Différence culturelle et souffrances de l’identité</w:t>
      </w:r>
      <w:r w:rsidRPr="0004686B">
        <w:rPr>
          <w:rFonts w:asciiTheme="minorHAnsi" w:hAnsiTheme="minorHAnsi" w:cstheme="minorHAnsi"/>
          <w:lang w:val="fr-FR"/>
        </w:rPr>
        <w:t xml:space="preserve">, Paris, </w:t>
      </w:r>
      <w:proofErr w:type="spellStart"/>
      <w:r w:rsidRPr="0004686B">
        <w:rPr>
          <w:rFonts w:asciiTheme="minorHAnsi" w:hAnsiTheme="minorHAnsi" w:cstheme="minorHAnsi"/>
          <w:lang w:val="fr-FR"/>
        </w:rPr>
        <w:t>Dunod</w:t>
      </w:r>
      <w:proofErr w:type="spellEnd"/>
      <w:r w:rsidRPr="0004686B">
        <w:rPr>
          <w:rFonts w:asciiTheme="minorHAnsi" w:hAnsiTheme="minorHAnsi" w:cstheme="minorHAnsi"/>
          <w:lang w:val="fr-FR"/>
        </w:rPr>
        <w:t>.</w:t>
      </w:r>
    </w:p>
    <w:p w14:paraId="7EA38881" w14:textId="4EB91963" w:rsidR="0004686B" w:rsidRPr="0004686B" w:rsidRDefault="0004686B" w:rsidP="004237C9">
      <w:pPr>
        <w:pStyle w:val="Notedebasdepage"/>
        <w:jc w:val="both"/>
        <w:rPr>
          <w:rFonts w:asciiTheme="minorHAnsi" w:hAnsiTheme="minorHAnsi" w:cstheme="minorHAnsi"/>
        </w:rPr>
      </w:pPr>
      <w:proofErr w:type="spellStart"/>
      <w:r w:rsidRPr="0004686B">
        <w:rPr>
          <w:rFonts w:asciiTheme="minorHAnsi" w:hAnsiTheme="minorHAnsi" w:cstheme="minorHAnsi"/>
        </w:rPr>
        <w:t>Kaës</w:t>
      </w:r>
      <w:proofErr w:type="spellEnd"/>
      <w:r w:rsidRPr="0004686B">
        <w:rPr>
          <w:rFonts w:asciiTheme="minorHAnsi" w:hAnsiTheme="minorHAnsi" w:cstheme="minorHAnsi"/>
        </w:rPr>
        <w:t xml:space="preserve"> R. (20</w:t>
      </w:r>
      <w:r w:rsidR="00693E45">
        <w:rPr>
          <w:rFonts w:asciiTheme="minorHAnsi" w:hAnsiTheme="minorHAnsi" w:cstheme="minorHAnsi"/>
          <w:lang w:val="fr-FR"/>
        </w:rPr>
        <w:t>12</w:t>
      </w:r>
      <w:r w:rsidRPr="0004686B">
        <w:rPr>
          <w:rFonts w:asciiTheme="minorHAnsi" w:hAnsiTheme="minorHAnsi" w:cstheme="minorHAnsi"/>
        </w:rPr>
        <w:t xml:space="preserve">). </w:t>
      </w:r>
      <w:r w:rsidR="00BF6F2C" w:rsidRPr="004873C8">
        <w:rPr>
          <w:rFonts w:asciiTheme="minorHAnsi" w:hAnsiTheme="minorHAnsi" w:cstheme="minorHAnsi"/>
          <w:i/>
          <w:iCs/>
          <w:lang w:val="fr-FR"/>
        </w:rPr>
        <w:t>Le</w:t>
      </w:r>
      <w:r w:rsidR="00BF6F2C">
        <w:rPr>
          <w:rFonts w:asciiTheme="minorHAnsi" w:hAnsiTheme="minorHAnsi" w:cstheme="minorHAnsi"/>
          <w:lang w:val="fr-FR"/>
        </w:rPr>
        <w:t xml:space="preserve"> </w:t>
      </w:r>
      <w:proofErr w:type="spellStart"/>
      <w:r w:rsidR="00E578C1">
        <w:rPr>
          <w:rFonts w:asciiTheme="minorHAnsi" w:hAnsiTheme="minorHAnsi" w:cstheme="minorHAnsi"/>
          <w:i/>
          <w:lang w:val="fr-FR"/>
        </w:rPr>
        <w:t>M</w:t>
      </w:r>
      <w:r w:rsidR="00693E45">
        <w:rPr>
          <w:rFonts w:asciiTheme="minorHAnsi" w:hAnsiTheme="minorHAnsi" w:cstheme="minorHAnsi"/>
          <w:i/>
          <w:lang w:val="fr-FR"/>
        </w:rPr>
        <w:t>alêtre</w:t>
      </w:r>
      <w:proofErr w:type="spellEnd"/>
      <w:r w:rsidRPr="0004686B">
        <w:rPr>
          <w:rFonts w:asciiTheme="minorHAnsi" w:hAnsiTheme="minorHAnsi" w:cstheme="minorHAnsi"/>
        </w:rPr>
        <w:t xml:space="preserve">, Paris, </w:t>
      </w:r>
      <w:proofErr w:type="spellStart"/>
      <w:r w:rsidRPr="0004686B">
        <w:rPr>
          <w:rFonts w:asciiTheme="minorHAnsi" w:hAnsiTheme="minorHAnsi" w:cstheme="minorHAnsi"/>
        </w:rPr>
        <w:t>Dunod</w:t>
      </w:r>
      <w:proofErr w:type="spellEnd"/>
      <w:r w:rsidRPr="0004686B">
        <w:rPr>
          <w:rFonts w:asciiTheme="minorHAnsi" w:hAnsiTheme="minorHAnsi" w:cstheme="minorHAnsi"/>
        </w:rPr>
        <w:t>.</w:t>
      </w:r>
    </w:p>
    <w:p w14:paraId="62B8BDBD" w14:textId="77777777" w:rsidR="00966570" w:rsidRDefault="00966570" w:rsidP="004237C9">
      <w:r w:rsidRPr="00966570">
        <w:t xml:space="preserve">Khan M.R. (1976). </w:t>
      </w:r>
      <w:r w:rsidRPr="00966570">
        <w:rPr>
          <w:i/>
        </w:rPr>
        <w:t xml:space="preserve">Le soi caché, </w:t>
      </w:r>
      <w:r w:rsidRPr="00966570">
        <w:t>Paris, Gallimard</w:t>
      </w:r>
      <w:r w:rsidR="0004686B">
        <w:t>.</w:t>
      </w:r>
    </w:p>
    <w:p w14:paraId="6453E5AF" w14:textId="77777777" w:rsidR="0004686B" w:rsidRDefault="0004686B" w:rsidP="004237C9">
      <w:pPr>
        <w:pStyle w:val="Notedebasdepage"/>
        <w:jc w:val="both"/>
        <w:rPr>
          <w:rFonts w:asciiTheme="minorHAnsi" w:hAnsiTheme="minorHAnsi" w:cstheme="minorHAnsi"/>
        </w:rPr>
      </w:pPr>
      <w:proofErr w:type="spellStart"/>
      <w:r w:rsidRPr="0004686B">
        <w:rPr>
          <w:rFonts w:asciiTheme="minorHAnsi" w:hAnsiTheme="minorHAnsi" w:cstheme="minorHAnsi"/>
        </w:rPr>
        <w:t>Lachal</w:t>
      </w:r>
      <w:proofErr w:type="spellEnd"/>
      <w:r w:rsidRPr="0004686B">
        <w:rPr>
          <w:rFonts w:asciiTheme="minorHAnsi" w:hAnsiTheme="minorHAnsi" w:cstheme="minorHAnsi"/>
        </w:rPr>
        <w:t xml:space="preserve"> C. (2006). </w:t>
      </w:r>
      <w:r w:rsidRPr="0004686B">
        <w:rPr>
          <w:rFonts w:asciiTheme="minorHAnsi" w:hAnsiTheme="minorHAnsi" w:cstheme="minorHAnsi"/>
          <w:i/>
        </w:rPr>
        <w:t>Le partage du traumatisme</w:t>
      </w:r>
      <w:r w:rsidRPr="0004686B">
        <w:rPr>
          <w:rFonts w:asciiTheme="minorHAnsi" w:hAnsiTheme="minorHAnsi" w:cstheme="minorHAnsi"/>
        </w:rPr>
        <w:t>, Grenoble, La Pensée sauvage.</w:t>
      </w:r>
    </w:p>
    <w:p w14:paraId="019F453E" w14:textId="77777777" w:rsidR="0004686B" w:rsidRDefault="0004686B" w:rsidP="004237C9">
      <w:pPr>
        <w:jc w:val="both"/>
      </w:pPr>
      <w:proofErr w:type="spellStart"/>
      <w:r w:rsidRPr="00614D57">
        <w:t>Mansouri</w:t>
      </w:r>
      <w:proofErr w:type="spellEnd"/>
      <w:r w:rsidRPr="00614D57">
        <w:t xml:space="preserve"> M. (2013). </w:t>
      </w:r>
      <w:r w:rsidRPr="00614D57">
        <w:rPr>
          <w:i/>
        </w:rPr>
        <w:t>Révolte</w:t>
      </w:r>
      <w:r>
        <w:rPr>
          <w:i/>
        </w:rPr>
        <w:t xml:space="preserve">s </w:t>
      </w:r>
      <w:proofErr w:type="spellStart"/>
      <w:r>
        <w:rPr>
          <w:i/>
        </w:rPr>
        <w:t>post-coloniales</w:t>
      </w:r>
      <w:proofErr w:type="spellEnd"/>
      <w:r>
        <w:rPr>
          <w:i/>
        </w:rPr>
        <w:t xml:space="preserve"> au cœur de l’H</w:t>
      </w:r>
      <w:r w:rsidRPr="00614D57">
        <w:rPr>
          <w:i/>
        </w:rPr>
        <w:t>exagone</w:t>
      </w:r>
      <w:r w:rsidRPr="00614D57">
        <w:t xml:space="preserve">. </w:t>
      </w:r>
      <w:r w:rsidRPr="00614D57">
        <w:rPr>
          <w:i/>
        </w:rPr>
        <w:t>Voix d’adolescents</w:t>
      </w:r>
      <w:r>
        <w:t>, Paris, PUF.</w:t>
      </w:r>
    </w:p>
    <w:p w14:paraId="0B8012E7" w14:textId="77777777" w:rsidR="00A8053A" w:rsidRPr="00A8053A" w:rsidRDefault="00A8053A" w:rsidP="004237C9">
      <w:pPr>
        <w:pStyle w:val="Notedebasdepage"/>
        <w:jc w:val="both"/>
        <w:rPr>
          <w:rFonts w:asciiTheme="minorHAnsi" w:hAnsiTheme="minorHAnsi" w:cstheme="minorHAnsi"/>
        </w:rPr>
      </w:pPr>
      <w:r w:rsidRPr="00A8053A">
        <w:rPr>
          <w:rFonts w:asciiTheme="minorHAnsi" w:hAnsiTheme="minorHAnsi" w:cstheme="minorHAnsi"/>
        </w:rPr>
        <w:t xml:space="preserve">Winnicott D.W. (1947). </w:t>
      </w:r>
      <w:r w:rsidRPr="00A8053A">
        <w:rPr>
          <w:rFonts w:asciiTheme="minorHAnsi" w:hAnsiTheme="minorHAnsi" w:cstheme="minorHAnsi"/>
          <w:i/>
        </w:rPr>
        <w:t>De la pédiatrie à la psychanalyse</w:t>
      </w:r>
      <w:r>
        <w:rPr>
          <w:rFonts w:asciiTheme="minorHAnsi" w:hAnsiTheme="minorHAnsi" w:cstheme="minorHAnsi"/>
        </w:rPr>
        <w:t>, Paris, Payot,</w:t>
      </w:r>
      <w:r>
        <w:rPr>
          <w:rFonts w:asciiTheme="minorHAnsi" w:hAnsiTheme="minorHAnsi" w:cstheme="minorHAnsi"/>
          <w:lang w:val="fr-FR"/>
        </w:rPr>
        <w:t xml:space="preserve"> </w:t>
      </w:r>
      <w:r w:rsidRPr="00A8053A">
        <w:rPr>
          <w:rFonts w:asciiTheme="minorHAnsi" w:hAnsiTheme="minorHAnsi" w:cstheme="minorHAnsi"/>
        </w:rPr>
        <w:t>1992.</w:t>
      </w:r>
    </w:p>
    <w:p w14:paraId="4B61DF5D" w14:textId="77777777" w:rsidR="0004686B" w:rsidRPr="0004686B" w:rsidRDefault="0004686B" w:rsidP="004237C9">
      <w:pPr>
        <w:pStyle w:val="Notedebasdepage"/>
        <w:jc w:val="both"/>
        <w:rPr>
          <w:rFonts w:asciiTheme="minorHAnsi" w:hAnsiTheme="minorHAnsi" w:cstheme="minorHAnsi"/>
        </w:rPr>
      </w:pPr>
    </w:p>
    <w:p w14:paraId="04C2DC83" w14:textId="77777777" w:rsidR="0004686B" w:rsidRPr="0004686B" w:rsidRDefault="0004686B" w:rsidP="004237C9">
      <w:pPr>
        <w:rPr>
          <w:lang w:val="x-none"/>
        </w:rPr>
      </w:pPr>
    </w:p>
    <w:sectPr w:rsidR="0004686B" w:rsidRPr="0004686B" w:rsidSect="00CA415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D44CF"/>
    <w:multiLevelType w:val="hybridMultilevel"/>
    <w:tmpl w:val="E6028800"/>
    <w:lvl w:ilvl="0" w:tplc="B80890B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90737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F45"/>
    <w:rsid w:val="00013F45"/>
    <w:rsid w:val="0004686B"/>
    <w:rsid w:val="00151334"/>
    <w:rsid w:val="00160D84"/>
    <w:rsid w:val="001A4BEE"/>
    <w:rsid w:val="00285189"/>
    <w:rsid w:val="002C76BA"/>
    <w:rsid w:val="0030545E"/>
    <w:rsid w:val="0032000A"/>
    <w:rsid w:val="00332D4F"/>
    <w:rsid w:val="00333FF0"/>
    <w:rsid w:val="003F0FD1"/>
    <w:rsid w:val="004237C9"/>
    <w:rsid w:val="0044227A"/>
    <w:rsid w:val="004873C8"/>
    <w:rsid w:val="00497A8A"/>
    <w:rsid w:val="00545ECD"/>
    <w:rsid w:val="005937FF"/>
    <w:rsid w:val="00693E45"/>
    <w:rsid w:val="0069427F"/>
    <w:rsid w:val="006B601F"/>
    <w:rsid w:val="00754C2B"/>
    <w:rsid w:val="007E41C8"/>
    <w:rsid w:val="00837F86"/>
    <w:rsid w:val="00844940"/>
    <w:rsid w:val="00881228"/>
    <w:rsid w:val="00966570"/>
    <w:rsid w:val="00A00E21"/>
    <w:rsid w:val="00A31B02"/>
    <w:rsid w:val="00A8053A"/>
    <w:rsid w:val="00BF6F2C"/>
    <w:rsid w:val="00C10545"/>
    <w:rsid w:val="00CA4151"/>
    <w:rsid w:val="00CC0094"/>
    <w:rsid w:val="00D22CBC"/>
    <w:rsid w:val="00D91D82"/>
    <w:rsid w:val="00E578C1"/>
    <w:rsid w:val="00EB26DA"/>
    <w:rsid w:val="00F0236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90753"/>
  <w14:defaultImageDpi w14:val="32767"/>
  <w15:chartTrackingRefBased/>
  <w15:docId w15:val="{9EF32043-6D35-DB40-B525-08C79F93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966570"/>
    <w:rPr>
      <w:rFonts w:ascii="Times New Roman" w:eastAsia="MS Mincho" w:hAnsi="Times New Roman" w:cs="Times New Roman"/>
      <w:lang w:val="x-none" w:eastAsia="fr-FR" w:bidi="he-IL"/>
    </w:rPr>
  </w:style>
  <w:style w:type="character" w:customStyle="1" w:styleId="NotedebasdepageCar">
    <w:name w:val="Note de bas de page Car"/>
    <w:basedOn w:val="Policepardfaut"/>
    <w:link w:val="Notedebasdepage"/>
    <w:rsid w:val="00966570"/>
    <w:rPr>
      <w:rFonts w:ascii="Times New Roman" w:eastAsia="MS Mincho" w:hAnsi="Times New Roman" w:cs="Times New Roman"/>
      <w:lang w:val="x-none" w:eastAsia="fr-FR" w:bidi="he-IL"/>
    </w:rPr>
  </w:style>
  <w:style w:type="paragraph" w:styleId="Paragraphedeliste">
    <w:name w:val="List Paragraph"/>
    <w:basedOn w:val="Normal"/>
    <w:uiPriority w:val="34"/>
    <w:qFormat/>
    <w:rsid w:val="00754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717</Words>
  <Characters>3944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Marion Feldman</cp:lastModifiedBy>
  <cp:revision>11</cp:revision>
  <dcterms:created xsi:type="dcterms:W3CDTF">2022-04-06T16:04:00Z</dcterms:created>
  <dcterms:modified xsi:type="dcterms:W3CDTF">2022-04-06T16:19:00Z</dcterms:modified>
</cp:coreProperties>
</file>